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3A4" w:rsidRDefault="00D113A4" w:rsidP="00D113A4">
      <w:pPr>
        <w:tabs>
          <w:tab w:val="right" w:pos="9072"/>
        </w:tabs>
      </w:pPr>
      <w:r>
        <w:t xml:space="preserve">                                                                                                            </w:t>
      </w:r>
      <w:r>
        <w:tab/>
      </w:r>
      <w:r w:rsidRPr="00D113A4">
        <w:rPr>
          <w:noProof/>
        </w:rPr>
        <w:drawing>
          <wp:inline distT="0" distB="0" distL="0" distR="0" wp14:anchorId="517E1151" wp14:editId="6C6B2C6F">
            <wp:extent cx="2435805" cy="70485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5398" cy="724988"/>
                    </a:xfrm>
                    <a:prstGeom prst="rect">
                      <a:avLst/>
                    </a:prstGeom>
                  </pic:spPr>
                </pic:pic>
              </a:graphicData>
            </a:graphic>
          </wp:inline>
        </w:drawing>
      </w:r>
    </w:p>
    <w:p w:rsidR="00D113A4" w:rsidRDefault="00D113A4" w:rsidP="00D113A4">
      <w:pPr>
        <w:tabs>
          <w:tab w:val="left" w:pos="6480"/>
        </w:tabs>
      </w:pPr>
      <w:r>
        <w:tab/>
        <w:t xml:space="preserve">          </w:t>
      </w:r>
    </w:p>
    <w:p w:rsidR="00D113A4" w:rsidRDefault="00D113A4" w:rsidP="00D113A4">
      <w:pPr>
        <w:tabs>
          <w:tab w:val="left" w:pos="5325"/>
        </w:tabs>
        <w:jc w:val="right"/>
      </w:pPr>
      <w:r>
        <w:tab/>
        <w:t xml:space="preserve">     </w:t>
      </w:r>
    </w:p>
    <w:p w:rsidR="00D113A4" w:rsidRDefault="00D113A4" w:rsidP="00D113A4">
      <w:pPr>
        <w:spacing w:after="0" w:line="240" w:lineRule="auto"/>
        <w:rPr>
          <w:rFonts w:ascii="Arial" w:hAnsi="Arial" w:cs="Arial"/>
          <w:b/>
          <w:sz w:val="28"/>
        </w:rPr>
      </w:pPr>
      <w:r w:rsidRPr="00D113A4">
        <w:rPr>
          <w:rFonts w:ascii="Arial" w:hAnsi="Arial" w:cs="Arial"/>
          <w:b/>
          <w:sz w:val="28"/>
        </w:rPr>
        <w:t>Chemische Trinkwasseruntersuchungen im Bereich der Verbandsgemeinde Loreley 202</w:t>
      </w:r>
      <w:r w:rsidR="003C7A4D">
        <w:rPr>
          <w:rFonts w:ascii="Arial" w:hAnsi="Arial" w:cs="Arial"/>
          <w:b/>
          <w:sz w:val="28"/>
        </w:rPr>
        <w:t>5</w:t>
      </w:r>
    </w:p>
    <w:p w:rsidR="00D113A4" w:rsidRPr="00D113A4" w:rsidRDefault="00D113A4" w:rsidP="00D113A4">
      <w:pPr>
        <w:spacing w:after="0" w:line="240" w:lineRule="auto"/>
        <w:rPr>
          <w:rFonts w:ascii="Arial" w:hAnsi="Arial" w:cs="Arial"/>
          <w:b/>
          <w:sz w:val="28"/>
        </w:rPr>
      </w:pPr>
    </w:p>
    <w:p w:rsidR="00D113A4" w:rsidRPr="00D113A4" w:rsidRDefault="00D113A4" w:rsidP="00D113A4">
      <w:pPr>
        <w:spacing w:after="0" w:line="240" w:lineRule="auto"/>
        <w:rPr>
          <w:rFonts w:ascii="Arial" w:hAnsi="Arial" w:cs="Arial"/>
          <w:b/>
          <w:sz w:val="20"/>
        </w:rPr>
      </w:pPr>
      <w:r w:rsidRPr="00D113A4">
        <w:rPr>
          <w:rFonts w:ascii="Arial" w:hAnsi="Arial" w:cs="Arial"/>
          <w:sz w:val="20"/>
        </w:rPr>
        <w:t xml:space="preserve">Wasser, das als Trinkwasser abgegeben oder für Lebensmittel genutzt wird, muss den strengen Anforderungen der Trinkwasserverordnung (TVO) entsprechen. Dies wird durch ständige chemische und mikrobiologische Untersuchungen von den Wasserversorgern und den zuständigen Gesundheitsbehörden überwacht und kontrolliert. </w:t>
      </w: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 xml:space="preserve">Damit wir unseren Kunden jederzeit qualitativ hochwertiges Trinkwasser in ausreichender Menge liefern können, investieren wir laufend in die Erhaltung, die Modernisierung und den Ausbau der Versorgungsanlagen. </w:t>
      </w:r>
    </w:p>
    <w:p w:rsidR="00D113A4" w:rsidRPr="00D113A4" w:rsidRDefault="00D113A4" w:rsidP="00D113A4">
      <w:pPr>
        <w:spacing w:after="0" w:line="240" w:lineRule="auto"/>
        <w:jc w:val="both"/>
        <w:rPr>
          <w:rFonts w:ascii="Arial" w:hAnsi="Arial" w:cs="Arial"/>
          <w:sz w:val="20"/>
        </w:rPr>
      </w:pP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Nachstehend sind die Ergebnisse der auf der Grundlage der Trinkwasserverordnung durchgeführten Trinkwasseruntersuchung auszugsweise wiedergegeben. Mit der Erstellung der Analyse war d</w:t>
      </w:r>
      <w:r w:rsidR="003C7A4D">
        <w:rPr>
          <w:rFonts w:ascii="Arial" w:hAnsi="Arial" w:cs="Arial"/>
          <w:sz w:val="20"/>
        </w:rPr>
        <w:t>ie SGS Institut Fresenius GmbH aus Taunusstein</w:t>
      </w:r>
      <w:r w:rsidRPr="00D113A4">
        <w:rPr>
          <w:rFonts w:ascii="Arial" w:hAnsi="Arial" w:cs="Arial"/>
          <w:sz w:val="20"/>
        </w:rPr>
        <w:t>, beauftragt.</w:t>
      </w:r>
    </w:p>
    <w:p w:rsidR="00D113A4" w:rsidRPr="00D113A4" w:rsidRDefault="00D113A4" w:rsidP="00D113A4">
      <w:pPr>
        <w:spacing w:after="0" w:line="240" w:lineRule="auto"/>
        <w:jc w:val="both"/>
        <w:rPr>
          <w:rFonts w:ascii="Arial" w:hAnsi="Arial" w:cs="Arial"/>
          <w:sz w:val="20"/>
        </w:rPr>
      </w:pP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 xml:space="preserve">Für den Verbraucher von Bedeutung ist unter anderem die Wasserhärte. Nach dem </w:t>
      </w:r>
      <w:r w:rsidRPr="00D113A4">
        <w:rPr>
          <w:rFonts w:ascii="Arial" w:hAnsi="Arial" w:cs="Arial"/>
          <w:b/>
          <w:sz w:val="20"/>
        </w:rPr>
        <w:t xml:space="preserve">Wasch- und Reinigungsmittelgesetz (WRMG) </w:t>
      </w:r>
      <w:r w:rsidRPr="00D113A4">
        <w:rPr>
          <w:rFonts w:ascii="Arial" w:hAnsi="Arial" w:cs="Arial"/>
          <w:sz w:val="20"/>
        </w:rPr>
        <w:t>vom 29.04.2007 müssen auf den Waschmittelpackungen Dosierempfehlungen für die jeweiligen Härtebereiche ange</w:t>
      </w:r>
      <w:r w:rsidR="00B52BA6">
        <w:rPr>
          <w:rFonts w:ascii="Arial" w:hAnsi="Arial" w:cs="Arial"/>
          <w:sz w:val="20"/>
        </w:rPr>
        <w:t>ge</w:t>
      </w:r>
      <w:r w:rsidRPr="00D113A4">
        <w:rPr>
          <w:rFonts w:ascii="Arial" w:hAnsi="Arial" w:cs="Arial"/>
          <w:sz w:val="20"/>
        </w:rPr>
        <w:t>ben werden. Die Wasserwerke sind ebenfalls verpflichtet, mindestens einmal jährlich dem Verbraucher den Härtebereich bekanntzugeben.</w:t>
      </w: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 xml:space="preserve">Der Umwelt zuliebe sollten die Dosierempfehlungen unbedingt beachtet werden. </w:t>
      </w:r>
    </w:p>
    <w:p w:rsidR="00D113A4" w:rsidRPr="00D113A4" w:rsidRDefault="00D113A4" w:rsidP="00D113A4">
      <w:pPr>
        <w:spacing w:after="0" w:line="240" w:lineRule="auto"/>
        <w:jc w:val="both"/>
        <w:rPr>
          <w:rFonts w:ascii="Arial" w:hAnsi="Arial" w:cs="Arial"/>
          <w:sz w:val="20"/>
        </w:rPr>
      </w:pPr>
    </w:p>
    <w:p w:rsidR="00D113A4" w:rsidRPr="00D113A4" w:rsidRDefault="00D113A4" w:rsidP="00D113A4">
      <w:pPr>
        <w:spacing w:after="0" w:line="240" w:lineRule="auto"/>
        <w:jc w:val="both"/>
        <w:rPr>
          <w:rFonts w:ascii="Arial" w:hAnsi="Arial" w:cs="Arial"/>
          <w:sz w:val="20"/>
          <w:u w:val="single"/>
        </w:rPr>
      </w:pPr>
      <w:r w:rsidRPr="00D113A4">
        <w:rPr>
          <w:rFonts w:ascii="Arial" w:hAnsi="Arial" w:cs="Arial"/>
          <w:sz w:val="20"/>
          <w:u w:val="single"/>
        </w:rPr>
        <w:t>Als Härtebereiche sind festgelegt:</w:t>
      </w:r>
    </w:p>
    <w:p w:rsidR="00D113A4" w:rsidRPr="00D113A4" w:rsidRDefault="00D113A4" w:rsidP="00D113A4">
      <w:pPr>
        <w:numPr>
          <w:ilvl w:val="0"/>
          <w:numId w:val="1"/>
        </w:numPr>
        <w:spacing w:after="0" w:line="240" w:lineRule="auto"/>
        <w:jc w:val="both"/>
        <w:rPr>
          <w:rFonts w:ascii="Arial" w:hAnsi="Arial" w:cs="Arial"/>
          <w:sz w:val="20"/>
        </w:rPr>
      </w:pPr>
      <w:r w:rsidRPr="00D113A4">
        <w:rPr>
          <w:rFonts w:ascii="Arial" w:hAnsi="Arial" w:cs="Arial"/>
          <w:sz w:val="20"/>
        </w:rPr>
        <w:t xml:space="preserve">Härtebereich </w:t>
      </w:r>
      <w:r w:rsidRPr="00D113A4">
        <w:rPr>
          <w:rFonts w:ascii="Arial" w:hAnsi="Arial" w:cs="Arial"/>
          <w:b/>
          <w:sz w:val="20"/>
        </w:rPr>
        <w:t>weich</w:t>
      </w:r>
      <w:r w:rsidRPr="00D113A4">
        <w:rPr>
          <w:rFonts w:ascii="Arial" w:hAnsi="Arial" w:cs="Arial"/>
          <w:sz w:val="20"/>
        </w:rPr>
        <w:t xml:space="preserve">: weniger als 1,5 </w:t>
      </w:r>
      <w:proofErr w:type="spellStart"/>
      <w:r w:rsidRPr="00D113A4">
        <w:rPr>
          <w:rFonts w:ascii="Arial" w:hAnsi="Arial" w:cs="Arial"/>
          <w:sz w:val="20"/>
        </w:rPr>
        <w:t>Millimol</w:t>
      </w:r>
      <w:proofErr w:type="spellEnd"/>
      <w:r w:rsidRPr="00D113A4">
        <w:rPr>
          <w:rFonts w:ascii="Arial" w:hAnsi="Arial" w:cs="Arial"/>
          <w:sz w:val="20"/>
        </w:rPr>
        <w:t xml:space="preserve"> Calciumcarbonat je Liter (entspricht 8,4 ° </w:t>
      </w:r>
      <w:proofErr w:type="spellStart"/>
      <w:r w:rsidRPr="00D113A4">
        <w:rPr>
          <w:rFonts w:ascii="Arial" w:hAnsi="Arial" w:cs="Arial"/>
          <w:sz w:val="20"/>
        </w:rPr>
        <w:t>dH</w:t>
      </w:r>
      <w:proofErr w:type="spellEnd"/>
      <w:r w:rsidRPr="00D113A4">
        <w:rPr>
          <w:rFonts w:ascii="Arial" w:hAnsi="Arial" w:cs="Arial"/>
          <w:sz w:val="20"/>
        </w:rPr>
        <w:t>)</w:t>
      </w:r>
    </w:p>
    <w:p w:rsidR="00D113A4" w:rsidRPr="00D113A4" w:rsidRDefault="00D113A4" w:rsidP="00D113A4">
      <w:pPr>
        <w:numPr>
          <w:ilvl w:val="0"/>
          <w:numId w:val="1"/>
        </w:numPr>
        <w:spacing w:after="0" w:line="240" w:lineRule="auto"/>
        <w:jc w:val="both"/>
        <w:rPr>
          <w:rFonts w:ascii="Arial" w:hAnsi="Arial" w:cs="Arial"/>
          <w:sz w:val="20"/>
        </w:rPr>
      </w:pPr>
      <w:r w:rsidRPr="00D113A4">
        <w:rPr>
          <w:rFonts w:ascii="Arial" w:hAnsi="Arial" w:cs="Arial"/>
          <w:sz w:val="20"/>
        </w:rPr>
        <w:t xml:space="preserve">Härtebereich </w:t>
      </w:r>
      <w:r w:rsidRPr="00D113A4">
        <w:rPr>
          <w:rFonts w:ascii="Arial" w:hAnsi="Arial" w:cs="Arial"/>
          <w:b/>
          <w:sz w:val="20"/>
        </w:rPr>
        <w:t>mittel</w:t>
      </w:r>
      <w:r w:rsidRPr="00D113A4">
        <w:rPr>
          <w:rFonts w:ascii="Arial" w:hAnsi="Arial" w:cs="Arial"/>
          <w:sz w:val="20"/>
        </w:rPr>
        <w:t xml:space="preserve">: 1,5 bis 2,5 </w:t>
      </w:r>
      <w:proofErr w:type="spellStart"/>
      <w:r w:rsidRPr="00D113A4">
        <w:rPr>
          <w:rFonts w:ascii="Arial" w:hAnsi="Arial" w:cs="Arial"/>
          <w:sz w:val="20"/>
        </w:rPr>
        <w:t>Millimol</w:t>
      </w:r>
      <w:proofErr w:type="spellEnd"/>
      <w:r w:rsidRPr="00D113A4">
        <w:rPr>
          <w:rFonts w:ascii="Arial" w:hAnsi="Arial" w:cs="Arial"/>
          <w:sz w:val="20"/>
        </w:rPr>
        <w:t xml:space="preserve"> Calciumcarbonat je Liter (entspricht 8,4 bis 14 ° </w:t>
      </w:r>
      <w:proofErr w:type="spellStart"/>
      <w:r w:rsidRPr="00D113A4">
        <w:rPr>
          <w:rFonts w:ascii="Arial" w:hAnsi="Arial" w:cs="Arial"/>
          <w:sz w:val="20"/>
        </w:rPr>
        <w:t>dH</w:t>
      </w:r>
      <w:proofErr w:type="spellEnd"/>
      <w:r w:rsidRPr="00D113A4">
        <w:rPr>
          <w:rFonts w:ascii="Arial" w:hAnsi="Arial" w:cs="Arial"/>
          <w:sz w:val="20"/>
        </w:rPr>
        <w:t>)</w:t>
      </w:r>
    </w:p>
    <w:p w:rsidR="00D113A4" w:rsidRPr="00D113A4" w:rsidRDefault="00D113A4" w:rsidP="00D113A4">
      <w:pPr>
        <w:numPr>
          <w:ilvl w:val="0"/>
          <w:numId w:val="1"/>
        </w:numPr>
        <w:spacing w:after="0" w:line="240" w:lineRule="auto"/>
        <w:jc w:val="both"/>
        <w:rPr>
          <w:rFonts w:ascii="Arial" w:hAnsi="Arial" w:cs="Arial"/>
          <w:sz w:val="20"/>
        </w:rPr>
      </w:pPr>
      <w:r w:rsidRPr="00D113A4">
        <w:rPr>
          <w:rFonts w:ascii="Arial" w:hAnsi="Arial" w:cs="Arial"/>
          <w:sz w:val="20"/>
        </w:rPr>
        <w:t xml:space="preserve">Härtebereich </w:t>
      </w:r>
      <w:r w:rsidRPr="00D113A4">
        <w:rPr>
          <w:rFonts w:ascii="Arial" w:hAnsi="Arial" w:cs="Arial"/>
          <w:b/>
          <w:sz w:val="20"/>
        </w:rPr>
        <w:t>hart</w:t>
      </w:r>
      <w:r w:rsidRPr="00D113A4">
        <w:rPr>
          <w:rFonts w:ascii="Arial" w:hAnsi="Arial" w:cs="Arial"/>
          <w:sz w:val="20"/>
        </w:rPr>
        <w:t xml:space="preserve">: mehr als 2,5 </w:t>
      </w:r>
      <w:proofErr w:type="spellStart"/>
      <w:r w:rsidRPr="00D113A4">
        <w:rPr>
          <w:rFonts w:ascii="Arial" w:hAnsi="Arial" w:cs="Arial"/>
          <w:sz w:val="20"/>
        </w:rPr>
        <w:t>Millimol</w:t>
      </w:r>
      <w:proofErr w:type="spellEnd"/>
      <w:r w:rsidRPr="00D113A4">
        <w:rPr>
          <w:rFonts w:ascii="Arial" w:hAnsi="Arial" w:cs="Arial"/>
          <w:sz w:val="20"/>
        </w:rPr>
        <w:t xml:space="preserve"> Calciumcarbonat je Liter (entspricht mehr als 14 ° </w:t>
      </w:r>
      <w:proofErr w:type="spellStart"/>
      <w:r w:rsidRPr="00D113A4">
        <w:rPr>
          <w:rFonts w:ascii="Arial" w:hAnsi="Arial" w:cs="Arial"/>
          <w:sz w:val="20"/>
        </w:rPr>
        <w:t>dH</w:t>
      </w:r>
      <w:proofErr w:type="spellEnd"/>
      <w:r w:rsidRPr="00D113A4">
        <w:rPr>
          <w:rFonts w:ascii="Arial" w:hAnsi="Arial" w:cs="Arial"/>
          <w:sz w:val="20"/>
        </w:rPr>
        <w:t>)</w:t>
      </w:r>
    </w:p>
    <w:p w:rsidR="00D113A4" w:rsidRPr="00D113A4" w:rsidRDefault="00D113A4" w:rsidP="00D113A4">
      <w:pPr>
        <w:spacing w:after="0" w:line="240" w:lineRule="auto"/>
        <w:ind w:left="360"/>
        <w:jc w:val="both"/>
        <w:rPr>
          <w:rFonts w:ascii="Arial" w:hAnsi="Arial" w:cs="Arial"/>
          <w:sz w:val="20"/>
        </w:rPr>
      </w:pP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Sollten sich zu den Analysewerten Fragen ergeben, wenden Sie sich bitte an die Mitarbeiter der Verbandsgemeindewerke Loreley.</w:t>
      </w:r>
    </w:p>
    <w:p w:rsidR="00D113A4" w:rsidRPr="00D113A4" w:rsidRDefault="00D113A4" w:rsidP="00D113A4">
      <w:pPr>
        <w:spacing w:after="0" w:line="240" w:lineRule="auto"/>
        <w:jc w:val="both"/>
        <w:rPr>
          <w:rFonts w:ascii="Arial" w:hAnsi="Arial" w:cs="Arial"/>
          <w:sz w:val="20"/>
        </w:rPr>
      </w:pP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 xml:space="preserve">An dieser Stelle möchten wir auch auf das Bürgerinformationssystem Trinkwasser (TWIST-Online) hinweisen. Hier stellt das Ministerium für Umwelt, Landwirtschaft, Ernährung, Weinbau u. Forsten Rheinland-Pfalz ein Informationssystem zur Verfügung, wo sich interessierte Bürgerinnen und Bürger die Analysen der wichtigsten Parameter aus dem landesweiten Datenbestand der letzten 3 Jahre anzeigen lassen können. Dazu wird über eine Übersichtskarte oder die Eingabe einer Postadresse die betreffende Messstelle ausgewählt und die jeweiligen Analyseergebnisse in einer Tabelle oder einem Liniendiagramm dargestellt. Die Startseite von TWIST-Online ist erreichbar über den Link: </w:t>
      </w:r>
      <w:hyperlink r:id="rId6" w:history="1">
        <w:r w:rsidRPr="00D113A4">
          <w:rPr>
            <w:rStyle w:val="Hyperlink"/>
            <w:rFonts w:ascii="Arial" w:hAnsi="Arial" w:cs="Arial"/>
            <w:sz w:val="20"/>
          </w:rPr>
          <w:t>www.trinkwasser.rlp.de</w:t>
        </w:r>
      </w:hyperlink>
    </w:p>
    <w:p w:rsidR="00D113A4" w:rsidRPr="00D113A4" w:rsidRDefault="00D113A4" w:rsidP="00D113A4">
      <w:pPr>
        <w:spacing w:after="0" w:line="240" w:lineRule="auto"/>
        <w:jc w:val="both"/>
        <w:rPr>
          <w:rFonts w:ascii="Arial" w:hAnsi="Arial" w:cs="Arial"/>
          <w:sz w:val="20"/>
        </w:rPr>
      </w:pP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 xml:space="preserve">Braubach, </w:t>
      </w:r>
      <w:r w:rsidR="0090174D">
        <w:rPr>
          <w:rFonts w:ascii="Arial" w:hAnsi="Arial" w:cs="Arial"/>
          <w:sz w:val="20"/>
        </w:rPr>
        <w:t>27</w:t>
      </w:r>
      <w:r w:rsidR="00077F14">
        <w:rPr>
          <w:rFonts w:ascii="Arial" w:hAnsi="Arial" w:cs="Arial"/>
          <w:sz w:val="20"/>
        </w:rPr>
        <w:t>.1</w:t>
      </w:r>
      <w:r w:rsidR="0090174D">
        <w:rPr>
          <w:rFonts w:ascii="Arial" w:hAnsi="Arial" w:cs="Arial"/>
          <w:sz w:val="20"/>
        </w:rPr>
        <w:t>1</w:t>
      </w:r>
      <w:r w:rsidR="00077F14">
        <w:rPr>
          <w:rFonts w:ascii="Arial" w:hAnsi="Arial" w:cs="Arial"/>
          <w:sz w:val="20"/>
        </w:rPr>
        <w:t>.202</w:t>
      </w:r>
      <w:r w:rsidR="0090174D">
        <w:rPr>
          <w:rFonts w:ascii="Arial" w:hAnsi="Arial" w:cs="Arial"/>
          <w:sz w:val="20"/>
        </w:rPr>
        <w:t>5</w:t>
      </w:r>
      <w:bookmarkStart w:id="0" w:name="_GoBack"/>
      <w:bookmarkEnd w:id="0"/>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Verbandsgemeindewerke</w:t>
      </w:r>
    </w:p>
    <w:p w:rsidR="00D113A4" w:rsidRPr="00D113A4" w:rsidRDefault="00D113A4" w:rsidP="00D113A4">
      <w:pPr>
        <w:spacing w:after="0" w:line="240" w:lineRule="auto"/>
        <w:jc w:val="both"/>
        <w:rPr>
          <w:rFonts w:ascii="Arial" w:hAnsi="Arial" w:cs="Arial"/>
          <w:sz w:val="20"/>
        </w:rPr>
      </w:pPr>
      <w:r w:rsidRPr="00D113A4">
        <w:rPr>
          <w:rFonts w:ascii="Arial" w:hAnsi="Arial" w:cs="Arial"/>
          <w:sz w:val="20"/>
        </w:rPr>
        <w:t>Loreley</w:t>
      </w:r>
    </w:p>
    <w:p w:rsidR="00D113A4" w:rsidRPr="00D113A4" w:rsidRDefault="00D113A4" w:rsidP="00D113A4">
      <w:pPr>
        <w:spacing w:after="0" w:line="240" w:lineRule="auto"/>
        <w:jc w:val="both"/>
        <w:rPr>
          <w:rFonts w:ascii="Arial" w:hAnsi="Arial" w:cs="Arial"/>
          <w:sz w:val="20"/>
        </w:rPr>
      </w:pPr>
    </w:p>
    <w:sectPr w:rsidR="00D113A4" w:rsidRPr="00D113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74A16"/>
    <w:multiLevelType w:val="hybridMultilevel"/>
    <w:tmpl w:val="632E4154"/>
    <w:lvl w:ilvl="0" w:tplc="A634B968">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A4"/>
    <w:rsid w:val="00077F14"/>
    <w:rsid w:val="00115869"/>
    <w:rsid w:val="003C7A4D"/>
    <w:rsid w:val="006D2090"/>
    <w:rsid w:val="007F0B42"/>
    <w:rsid w:val="008F497D"/>
    <w:rsid w:val="0090174D"/>
    <w:rsid w:val="00B52BA6"/>
    <w:rsid w:val="00D113A4"/>
    <w:rsid w:val="00E22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C8D0"/>
  <w15:chartTrackingRefBased/>
  <w15:docId w15:val="{EB7018DF-7E15-4318-ACEE-CEE6E824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11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nkwasser.rlp.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Schönfeld David</dc:creator>
  <cp:keywords/>
  <dc:description/>
  <cp:lastModifiedBy>Schönfeld David</cp:lastModifiedBy>
  <cp:revision>9</cp:revision>
  <dcterms:created xsi:type="dcterms:W3CDTF">2023-10-05T15:30:00Z</dcterms:created>
  <dcterms:modified xsi:type="dcterms:W3CDTF">2025-11-27T08:48:00Z</dcterms:modified>
</cp:coreProperties>
</file>